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D7D5A" w14:textId="77777777" w:rsidR="00AA7DFF" w:rsidRPr="00386C91" w:rsidRDefault="00AA7DFF" w:rsidP="00AA7DFF">
      <w:pPr>
        <w:keepNext/>
        <w:jc w:val="center"/>
        <w:outlineLvl w:val="0"/>
        <w:rPr>
          <w:rFonts w:eastAsia="Times New Roman" w:cs="Arial"/>
          <w:b/>
          <w:sz w:val="28"/>
          <w:szCs w:val="24"/>
          <w:lang w:val="en-GB" w:eastAsia="cs-CZ"/>
        </w:rPr>
      </w:pPr>
      <w:r w:rsidRPr="00386C91">
        <w:rPr>
          <w:rFonts w:eastAsia="Times New Roman" w:cs="Arial"/>
          <w:b/>
          <w:sz w:val="28"/>
          <w:szCs w:val="24"/>
          <w:lang w:val="en-GB" w:eastAsia="cs-CZ"/>
        </w:rPr>
        <w:t xml:space="preserve">Information on protection of injured parties and other </w:t>
      </w:r>
      <w:proofErr w:type="gramStart"/>
      <w:r w:rsidRPr="00386C91">
        <w:rPr>
          <w:rFonts w:eastAsia="Times New Roman" w:cs="Arial"/>
          <w:b/>
          <w:sz w:val="28"/>
          <w:szCs w:val="24"/>
          <w:lang w:val="en-GB" w:eastAsia="cs-CZ"/>
        </w:rPr>
        <w:t>subjects‘ personal</w:t>
      </w:r>
      <w:proofErr w:type="gramEnd"/>
      <w:r w:rsidRPr="00386C91">
        <w:rPr>
          <w:rFonts w:eastAsia="Times New Roman" w:cs="Arial"/>
          <w:b/>
          <w:sz w:val="28"/>
          <w:szCs w:val="24"/>
          <w:lang w:val="en-GB" w:eastAsia="cs-CZ"/>
        </w:rPr>
        <w:t xml:space="preserve"> data</w:t>
      </w:r>
    </w:p>
    <w:p w14:paraId="5C1EC6CD" w14:textId="77777777" w:rsidR="00AA7DFF" w:rsidRPr="00386C91" w:rsidRDefault="00AA7DFF" w:rsidP="00AA7DFF">
      <w:pPr>
        <w:jc w:val="center"/>
        <w:rPr>
          <w:rFonts w:eastAsia="Times New Roman" w:cs="Arial"/>
          <w:szCs w:val="24"/>
          <w:lang w:val="en-GB" w:eastAsia="cs-CZ"/>
        </w:rPr>
      </w:pPr>
    </w:p>
    <w:p w14:paraId="23BD8FE6" w14:textId="77777777" w:rsidR="00AA7DFF" w:rsidRDefault="00AA7DFF" w:rsidP="00AA7DFF">
      <w:pPr>
        <w:jc w:val="both"/>
        <w:rPr>
          <w:rFonts w:eastAsia="Times New Roman" w:cs="Arial"/>
          <w:szCs w:val="24"/>
          <w:lang w:val="en-GB" w:eastAsia="cs-CZ"/>
        </w:rPr>
      </w:pPr>
    </w:p>
    <w:p w14:paraId="3A4633D6"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The purpose of this document is to inform you of processing of your personal data and your rights in conformity with the General Data Protection Regulation 2016/679 (the “GDPR” henceforth).</w:t>
      </w:r>
    </w:p>
    <w:p w14:paraId="323F64F2" w14:textId="77777777" w:rsidR="00AA7DFF" w:rsidRPr="00386C91" w:rsidRDefault="00AA7DFF" w:rsidP="00AA7DFF">
      <w:pPr>
        <w:jc w:val="both"/>
        <w:rPr>
          <w:rFonts w:eastAsia="Times New Roman" w:cs="Arial"/>
          <w:szCs w:val="24"/>
          <w:lang w:val="en-GB" w:eastAsia="cs-CZ"/>
        </w:rPr>
      </w:pPr>
    </w:p>
    <w:p w14:paraId="45106757"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Who is responsible for processing your personal data (personal data controller)?</w:t>
      </w:r>
    </w:p>
    <w:p w14:paraId="21593CC3" w14:textId="77777777" w:rsidR="00AA7DFF" w:rsidRPr="00386C91" w:rsidRDefault="00AA7DFF" w:rsidP="00AA7DFF">
      <w:pPr>
        <w:jc w:val="both"/>
        <w:rPr>
          <w:rFonts w:eastAsia="Times New Roman" w:cs="Arial"/>
          <w:b/>
          <w:szCs w:val="24"/>
          <w:lang w:val="en-GB" w:eastAsia="cs-CZ"/>
        </w:rPr>
      </w:pPr>
    </w:p>
    <w:p w14:paraId="777CDB9B" w14:textId="4DA7FBFB" w:rsidR="00AA7DFF" w:rsidRPr="001E05D6" w:rsidRDefault="007C3AE2" w:rsidP="00AA7DFF">
      <w:pPr>
        <w:pStyle w:val="Zkladntext"/>
        <w:rPr>
          <w:b/>
          <w:bCs/>
          <w:sz w:val="20"/>
          <w:szCs w:val="20"/>
        </w:rPr>
      </w:pPr>
      <w:r>
        <w:rPr>
          <w:b/>
          <w:bCs/>
          <w:sz w:val="20"/>
          <w:szCs w:val="20"/>
        </w:rPr>
        <w:t>SV PRO-finance, s.r.o.</w:t>
      </w:r>
    </w:p>
    <w:p w14:paraId="0C01B030" w14:textId="77777777" w:rsidR="00AA7DFF" w:rsidRDefault="00AA7DFF" w:rsidP="00AA7DFF">
      <w:pPr>
        <w:jc w:val="both"/>
        <w:rPr>
          <w:rFonts w:ascii="Barlow" w:hAnsi="Barlow"/>
          <w:color w:val="071428"/>
          <w:shd w:val="clear" w:color="auto" w:fill="FFFFFF"/>
        </w:rPr>
      </w:pPr>
      <w:r w:rsidRPr="001E05D6">
        <w:rPr>
          <w:rFonts w:eastAsia="Times New Roman" w:cs="Arial"/>
          <w:szCs w:val="24"/>
          <w:lang w:eastAsia="cs-CZ"/>
        </w:rPr>
        <w:t xml:space="preserve">IČO: </w:t>
      </w:r>
      <w:r>
        <w:rPr>
          <w:rFonts w:ascii="Barlow" w:hAnsi="Barlow"/>
          <w:color w:val="071428"/>
          <w:shd w:val="clear" w:color="auto" w:fill="FFFFFF"/>
        </w:rPr>
        <w:t>26175401</w:t>
      </w:r>
    </w:p>
    <w:p w14:paraId="37D0E40D" w14:textId="77777777" w:rsidR="00AA7DFF" w:rsidRPr="001E05D6" w:rsidRDefault="00AA7DFF" w:rsidP="00AA7DFF">
      <w:pPr>
        <w:jc w:val="both"/>
        <w:rPr>
          <w:rFonts w:eastAsia="Times New Roman" w:cs="Arial"/>
          <w:szCs w:val="24"/>
          <w:lang w:eastAsia="cs-CZ"/>
        </w:rPr>
      </w:pPr>
      <w:r w:rsidRPr="001E05D6">
        <w:rPr>
          <w:rFonts w:eastAsia="Times New Roman" w:cs="Arial"/>
          <w:szCs w:val="24"/>
          <w:lang w:eastAsia="cs-CZ"/>
        </w:rPr>
        <w:t>BB Centrum budova BETA</w:t>
      </w:r>
    </w:p>
    <w:p w14:paraId="63C98C8E" w14:textId="77777777" w:rsidR="00AA7DFF" w:rsidRPr="001E05D6" w:rsidRDefault="00AA7DFF" w:rsidP="00AA7DFF">
      <w:pPr>
        <w:jc w:val="both"/>
        <w:rPr>
          <w:rFonts w:eastAsia="Times New Roman" w:cs="Arial"/>
          <w:szCs w:val="24"/>
          <w:lang w:eastAsia="cs-CZ"/>
        </w:rPr>
      </w:pPr>
      <w:r w:rsidRPr="001E05D6">
        <w:rPr>
          <w:rFonts w:eastAsia="Times New Roman" w:cs="Arial"/>
          <w:szCs w:val="24"/>
          <w:lang w:eastAsia="cs-CZ"/>
        </w:rPr>
        <w:t>Vyskočilova 1481/4</w:t>
      </w:r>
    </w:p>
    <w:p w14:paraId="46220884"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14000 Praha 4</w:t>
      </w:r>
    </w:p>
    <w:p w14:paraId="22AD7D22"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Tel +420 221 585 111</w:t>
      </w:r>
    </w:p>
    <w:p w14:paraId="74A63845"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info@svp</w:t>
      </w:r>
      <w:r>
        <w:rPr>
          <w:rFonts w:eastAsia="Times New Roman" w:cs="Arial"/>
          <w:szCs w:val="24"/>
          <w:lang w:val="pl-PL" w:eastAsia="cs-CZ"/>
        </w:rPr>
        <w:t>r</w:t>
      </w:r>
      <w:r w:rsidRPr="001E05D6">
        <w:rPr>
          <w:rFonts w:eastAsia="Times New Roman" w:cs="Arial"/>
          <w:szCs w:val="24"/>
          <w:lang w:val="pl-PL" w:eastAsia="cs-CZ"/>
        </w:rPr>
        <w:t>o</w:t>
      </w:r>
      <w:r>
        <w:rPr>
          <w:rFonts w:eastAsia="Times New Roman" w:cs="Arial"/>
          <w:szCs w:val="24"/>
          <w:lang w:val="pl-PL" w:eastAsia="cs-CZ"/>
        </w:rPr>
        <w:t>finance</w:t>
      </w:r>
      <w:r w:rsidRPr="001E05D6">
        <w:rPr>
          <w:rFonts w:eastAsia="Times New Roman" w:cs="Arial"/>
          <w:szCs w:val="24"/>
          <w:lang w:val="pl-PL" w:eastAsia="cs-CZ"/>
        </w:rPr>
        <w:t>.cz</w:t>
      </w:r>
      <w:r w:rsidRPr="001E05D6">
        <w:rPr>
          <w:rFonts w:eastAsia="Times New Roman" w:cs="Arial"/>
          <w:szCs w:val="24"/>
          <w:lang w:val="pl-PL" w:eastAsia="cs-CZ"/>
        </w:rPr>
        <w:cr/>
      </w:r>
    </w:p>
    <w:p w14:paraId="27C9B4BE"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Our data protection officer can be contacted at the above-mentioned address or via email dpo@svpojistovna.cz.</w:t>
      </w:r>
    </w:p>
    <w:p w14:paraId="0027924D" w14:textId="77777777" w:rsidR="00AA7DFF" w:rsidRPr="00386C91" w:rsidRDefault="00AA7DFF" w:rsidP="00AA7DFF">
      <w:pPr>
        <w:jc w:val="both"/>
        <w:rPr>
          <w:rFonts w:eastAsia="Times New Roman" w:cs="Arial"/>
          <w:szCs w:val="24"/>
          <w:lang w:val="en-GB" w:eastAsia="cs-CZ"/>
        </w:rPr>
      </w:pPr>
    </w:p>
    <w:p w14:paraId="09244D12"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For what purpose are your personal data processed and under what legal basis?</w:t>
      </w:r>
    </w:p>
    <w:p w14:paraId="50AD6EC0"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We process your personal data in compliance with requirements of the EU GDPR regulation, the Personal Data Processing Act, provisions of the Insurance Act concerning personal data protection and other relevant legislation because you are an injured party, a witness of an insured event or a doctor. We obtained your personal data from the report of an insured event and we process them in a necessary extent for the purpose of evaluation of the insured event. The source of personal data is usually our client – policyholder or insured person. Personal data are processed in pursuance of protecting justified interests of SV pojišťovna or third parties (Article 6(1)(f) of the GDPR).</w:t>
      </w:r>
    </w:p>
    <w:p w14:paraId="287EA158" w14:textId="77777777" w:rsidR="00AA7DFF" w:rsidRPr="00386C91" w:rsidRDefault="00AA7DFF" w:rsidP="00AA7DFF">
      <w:pPr>
        <w:jc w:val="both"/>
        <w:rPr>
          <w:rFonts w:eastAsia="Times New Roman" w:cs="Arial"/>
          <w:szCs w:val="24"/>
          <w:lang w:val="en-GB" w:eastAsia="cs-CZ"/>
        </w:rPr>
      </w:pPr>
    </w:p>
    <w:p w14:paraId="1D008337" w14:textId="77777777" w:rsidR="00AA7DFF" w:rsidRPr="00386C91" w:rsidRDefault="00AA7DFF" w:rsidP="00AA7DFF">
      <w:pPr>
        <w:pBdr>
          <w:top w:val="single" w:sz="4" w:space="1" w:color="auto"/>
          <w:left w:val="single" w:sz="4" w:space="4" w:color="auto"/>
          <w:bottom w:val="single" w:sz="4" w:space="1" w:color="auto"/>
          <w:right w:val="single" w:sz="4" w:space="4" w:color="auto"/>
        </w:pBdr>
        <w:jc w:val="both"/>
        <w:rPr>
          <w:rFonts w:eastAsia="Times New Roman" w:cs="Arial"/>
          <w:b/>
          <w:szCs w:val="24"/>
          <w:lang w:val="en-GB" w:eastAsia="cs-CZ"/>
        </w:rPr>
      </w:pPr>
      <w:r w:rsidRPr="00386C91">
        <w:rPr>
          <w:rFonts w:eastAsia="Times New Roman" w:cs="Arial"/>
          <w:b/>
          <w:szCs w:val="24"/>
          <w:lang w:val="en-GB" w:eastAsia="cs-CZ"/>
        </w:rPr>
        <w:t>Right to object</w:t>
      </w:r>
    </w:p>
    <w:p w14:paraId="37B68B14" w14:textId="77777777" w:rsidR="00AA7DFF" w:rsidRPr="00386C91" w:rsidRDefault="00AA7DFF" w:rsidP="00AA7DFF">
      <w:pPr>
        <w:pBdr>
          <w:top w:val="single" w:sz="4" w:space="1" w:color="auto"/>
          <w:left w:val="single" w:sz="4" w:space="4" w:color="auto"/>
          <w:bottom w:val="single" w:sz="4" w:space="1" w:color="auto"/>
          <w:right w:val="single" w:sz="4" w:space="4" w:color="auto"/>
        </w:pBdr>
        <w:jc w:val="both"/>
        <w:rPr>
          <w:rFonts w:eastAsia="Times New Roman" w:cs="Arial"/>
          <w:szCs w:val="24"/>
          <w:lang w:val="en-GB" w:eastAsia="cs-CZ"/>
        </w:rPr>
      </w:pPr>
      <w:r w:rsidRPr="00386C91">
        <w:rPr>
          <w:rFonts w:eastAsia="Times New Roman" w:cs="Arial"/>
          <w:szCs w:val="24"/>
          <w:lang w:val="en-GB" w:eastAsia="cs-CZ"/>
        </w:rPr>
        <w:t>Where we process personal data with the aim of protecting justified interests, you may object to such processing of your personal data, including profiling, on the grounds of a specific situation you might be in.</w:t>
      </w:r>
    </w:p>
    <w:p w14:paraId="71025DA6" w14:textId="77777777" w:rsidR="00AA7DFF" w:rsidRPr="00386C91" w:rsidRDefault="00AA7DFF" w:rsidP="00AA7DFF">
      <w:pPr>
        <w:jc w:val="both"/>
        <w:rPr>
          <w:rFonts w:eastAsia="Times New Roman" w:cs="Arial"/>
          <w:szCs w:val="24"/>
          <w:lang w:val="en-GB" w:eastAsia="cs-CZ"/>
        </w:rPr>
      </w:pPr>
    </w:p>
    <w:p w14:paraId="02CF8BEA"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Who are recipients of your personal data?</w:t>
      </w:r>
    </w:p>
    <w:p w14:paraId="6F3744FB" w14:textId="77777777" w:rsidR="00AA7DFF" w:rsidRPr="00386C91" w:rsidRDefault="00AA7DFF" w:rsidP="00AA7DFF">
      <w:pPr>
        <w:jc w:val="both"/>
        <w:rPr>
          <w:color w:val="C00000"/>
          <w:lang w:val="en-GB"/>
        </w:rPr>
      </w:pPr>
      <w:r w:rsidRPr="00386C91">
        <w:rPr>
          <w:color w:val="C00000"/>
          <w:lang w:val="en-GB"/>
        </w:rPr>
        <w:t xml:space="preserve">Reinsurers </w:t>
      </w:r>
    </w:p>
    <w:p w14:paraId="365E3B23" w14:textId="77777777" w:rsidR="00AA7DFF" w:rsidRPr="00386C91" w:rsidRDefault="00AA7DFF" w:rsidP="00AA7DFF">
      <w:pPr>
        <w:jc w:val="both"/>
        <w:rPr>
          <w:lang w:val="en-GB"/>
        </w:rPr>
      </w:pPr>
      <w:r w:rsidRPr="00386C91">
        <w:rPr>
          <w:lang w:val="en-GB"/>
        </w:rPr>
        <w:t xml:space="preserve">The insurance risks assumed by us are further insured by specialized insurance companies – „reinsurance companies“. We may have to provide reinsurers with your insurance policy and/or data about the given insured event. To enable them to obtain information about the insurance case and the related risk. </w:t>
      </w:r>
    </w:p>
    <w:p w14:paraId="580F7220" w14:textId="77777777" w:rsidR="00AA7DFF" w:rsidRPr="00386C91" w:rsidRDefault="00AA7DFF" w:rsidP="00AA7DFF">
      <w:pPr>
        <w:jc w:val="both"/>
        <w:rPr>
          <w:lang w:val="en-GB"/>
        </w:rPr>
      </w:pPr>
      <w:r w:rsidRPr="00386C91">
        <w:rPr>
          <w:color w:val="C00000"/>
          <w:lang w:val="en-GB"/>
        </w:rPr>
        <w:t>Personal data processing in the S.V. Holding</w:t>
      </w:r>
      <w:r w:rsidRPr="00386C91">
        <w:rPr>
          <w:lang w:val="en-GB"/>
        </w:rPr>
        <w:t xml:space="preserve"> </w:t>
      </w:r>
    </w:p>
    <w:p w14:paraId="639A093E" w14:textId="77777777" w:rsidR="00AA7DFF" w:rsidRPr="00386C91" w:rsidRDefault="00AA7DFF" w:rsidP="00AA7DFF">
      <w:pPr>
        <w:jc w:val="both"/>
        <w:rPr>
          <w:lang w:val="en-GB"/>
        </w:rPr>
      </w:pPr>
      <w:r w:rsidRPr="00386C91">
        <w:rPr>
          <w:lang w:val="en-GB"/>
        </w:rPr>
        <w:t xml:space="preserve">The S.V. Holding conducts certain specific tasks on the central level, such as the secure data backup or technical support of the information system of insurance administration and claims adjustment; however, this is always done within the European Economic Area. </w:t>
      </w:r>
    </w:p>
    <w:p w14:paraId="276184A3" w14:textId="77777777" w:rsidR="00AA7DFF" w:rsidRPr="00386C91" w:rsidRDefault="00AA7DFF" w:rsidP="00AA7DFF">
      <w:pPr>
        <w:jc w:val="both"/>
        <w:rPr>
          <w:color w:val="C00000"/>
          <w:lang w:val="en-GB"/>
        </w:rPr>
      </w:pPr>
      <w:r w:rsidRPr="00386C91">
        <w:rPr>
          <w:color w:val="C00000"/>
          <w:lang w:val="en-GB"/>
        </w:rPr>
        <w:t xml:space="preserve">External providers of services </w:t>
      </w:r>
    </w:p>
    <w:p w14:paraId="632A3761" w14:textId="77777777" w:rsidR="00AA7DFF" w:rsidRPr="00386C91" w:rsidRDefault="00AA7DFF" w:rsidP="00AA7DFF">
      <w:pPr>
        <w:jc w:val="both"/>
        <w:rPr>
          <w:lang w:val="en-GB"/>
        </w:rPr>
      </w:pPr>
      <w:r w:rsidRPr="00386C91">
        <w:rPr>
          <w:lang w:val="en-GB"/>
        </w:rPr>
        <w:t>To comply with our contractual and legal obligations, we collaborate with selected external providers of services, who may process your personal data. The list of these processors is available from svpojistovna.cz/o-</w:t>
      </w:r>
      <w:proofErr w:type="spellStart"/>
      <w:r w:rsidRPr="00386C91">
        <w:rPr>
          <w:lang w:val="en-GB"/>
        </w:rPr>
        <w:t>spolecnosti</w:t>
      </w:r>
      <w:proofErr w:type="spellEnd"/>
      <w:r w:rsidRPr="00386C91">
        <w:rPr>
          <w:lang w:val="en-GB"/>
        </w:rPr>
        <w:t>/</w:t>
      </w:r>
      <w:proofErr w:type="spellStart"/>
      <w:r w:rsidRPr="00386C91">
        <w:rPr>
          <w:lang w:val="en-GB"/>
        </w:rPr>
        <w:t>ochrana-osobnich-udaju</w:t>
      </w:r>
      <w:proofErr w:type="spellEnd"/>
      <w:r w:rsidRPr="00386C91">
        <w:rPr>
          <w:lang w:val="en-GB"/>
        </w:rPr>
        <w:t xml:space="preserve">/, or at request. </w:t>
      </w:r>
    </w:p>
    <w:p w14:paraId="659B8018" w14:textId="77777777" w:rsidR="00AA7DFF" w:rsidRPr="00386C91" w:rsidRDefault="00AA7DFF" w:rsidP="00AA7DFF">
      <w:pPr>
        <w:jc w:val="both"/>
        <w:rPr>
          <w:color w:val="C00000"/>
          <w:lang w:val="en-GB"/>
        </w:rPr>
      </w:pPr>
      <w:r w:rsidRPr="00386C91">
        <w:rPr>
          <w:color w:val="C00000"/>
          <w:lang w:val="en-GB"/>
        </w:rPr>
        <w:lastRenderedPageBreak/>
        <w:t xml:space="preserve">Providers of health services </w:t>
      </w:r>
    </w:p>
    <w:p w14:paraId="198DFC3A" w14:textId="77777777" w:rsidR="00AA7DFF" w:rsidRPr="00386C91" w:rsidRDefault="00AA7DFF" w:rsidP="00AA7DFF">
      <w:pPr>
        <w:jc w:val="both"/>
        <w:rPr>
          <w:lang w:val="en-GB"/>
        </w:rPr>
      </w:pPr>
      <w:r w:rsidRPr="00386C91">
        <w:rPr>
          <w:lang w:val="en-GB"/>
        </w:rPr>
        <w:t xml:space="preserve">We may require your medical documentation from your attending physician or a medical report may be necessary for concluding an insurance policy or in case of an insured event. </w:t>
      </w:r>
    </w:p>
    <w:p w14:paraId="7711F8EF" w14:textId="77777777" w:rsidR="00AA7DFF" w:rsidRPr="00386C91" w:rsidRDefault="00AA7DFF" w:rsidP="00AA7DFF">
      <w:pPr>
        <w:jc w:val="both"/>
        <w:rPr>
          <w:color w:val="C00000"/>
          <w:lang w:val="en-GB"/>
        </w:rPr>
      </w:pPr>
      <w:r w:rsidRPr="00386C91">
        <w:rPr>
          <w:color w:val="C00000"/>
          <w:lang w:val="en-GB"/>
        </w:rPr>
        <w:t xml:space="preserve">Other recipients </w:t>
      </w:r>
    </w:p>
    <w:p w14:paraId="0787EE0D" w14:textId="77777777" w:rsidR="00AA7DFF" w:rsidRPr="00386C91" w:rsidRDefault="00AA7DFF" w:rsidP="00AA7DFF">
      <w:pPr>
        <w:jc w:val="both"/>
        <w:rPr>
          <w:lang w:val="en-GB"/>
        </w:rPr>
      </w:pPr>
      <w:r w:rsidRPr="00386C91">
        <w:rPr>
          <w:lang w:val="en-GB"/>
        </w:rPr>
        <w:t>We may be under the obligation to forward your personal data to other recipients, such as the Czech National Bank.</w:t>
      </w:r>
    </w:p>
    <w:p w14:paraId="04C41AB4" w14:textId="77777777" w:rsidR="00AA7DFF" w:rsidRPr="00386C91" w:rsidRDefault="00AA7DFF" w:rsidP="00AA7DFF">
      <w:pPr>
        <w:jc w:val="both"/>
        <w:rPr>
          <w:lang w:val="en-GB"/>
        </w:rPr>
      </w:pPr>
    </w:p>
    <w:p w14:paraId="724124C8" w14:textId="77777777" w:rsidR="00AA7DFF" w:rsidRPr="00386C91" w:rsidRDefault="00AA7DFF" w:rsidP="00AA7DFF">
      <w:pPr>
        <w:jc w:val="both"/>
        <w:rPr>
          <w:lang w:val="en-GB"/>
        </w:rPr>
      </w:pPr>
      <w:r w:rsidRPr="00386C91">
        <w:rPr>
          <w:lang w:val="en-GB"/>
        </w:rPr>
        <w:t>Your personal data are not transferred outside the European Economic Area and they are not subject to automated decision-making or profiling during the processing.</w:t>
      </w:r>
    </w:p>
    <w:p w14:paraId="482D121A" w14:textId="77777777" w:rsidR="00AA7DFF" w:rsidRPr="00386C91" w:rsidRDefault="00AA7DFF" w:rsidP="00AA7DFF">
      <w:pPr>
        <w:jc w:val="both"/>
        <w:rPr>
          <w:rFonts w:eastAsia="Times New Roman" w:cs="Arial"/>
          <w:szCs w:val="24"/>
          <w:lang w:val="en-GB" w:eastAsia="cs-CZ"/>
        </w:rPr>
      </w:pPr>
    </w:p>
    <w:p w14:paraId="041C5C9F"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 xml:space="preserve">How long are personal data retained? </w:t>
      </w:r>
    </w:p>
    <w:p w14:paraId="4F19E5D3"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We retain personal data over the term of your insurance policy or during an investigation of an insured event. Personal data are also kept based on the provisions of Civil Code; retention period may be as many as 17 years long of the end of insurance (or of the date of insurance claim settlement). Personal data are further retained with the aim of performing legal retention obligations, laid down chiefly in tax regulations, the Accounting Act and the Act on Certain Measures against Money Laundering and Financing of Terrorism.</w:t>
      </w:r>
    </w:p>
    <w:p w14:paraId="2F92B3FC" w14:textId="77777777" w:rsidR="00AA7DFF" w:rsidRPr="00386C91" w:rsidRDefault="00AA7DFF" w:rsidP="00AA7DFF">
      <w:pPr>
        <w:jc w:val="both"/>
        <w:rPr>
          <w:rFonts w:eastAsia="Times New Roman" w:cs="Arial"/>
          <w:szCs w:val="24"/>
          <w:lang w:val="en-GB" w:eastAsia="cs-CZ"/>
        </w:rPr>
      </w:pPr>
    </w:p>
    <w:p w14:paraId="2A0F8657" w14:textId="77777777" w:rsidR="00AA7DFF" w:rsidRPr="00386C91" w:rsidRDefault="00AA7DFF" w:rsidP="00AA7DFF">
      <w:pPr>
        <w:jc w:val="both"/>
        <w:rPr>
          <w:b/>
          <w:lang w:val="en-GB"/>
        </w:rPr>
      </w:pPr>
      <w:r w:rsidRPr="00386C91">
        <w:rPr>
          <w:b/>
          <w:lang w:val="en-GB"/>
        </w:rPr>
        <w:t xml:space="preserve">What rights do you have? </w:t>
      </w:r>
    </w:p>
    <w:p w14:paraId="30A18F7F" w14:textId="77777777" w:rsidR="00AA7DFF" w:rsidRPr="00386C91" w:rsidRDefault="00AA7DFF" w:rsidP="00AA7DFF">
      <w:pPr>
        <w:jc w:val="both"/>
        <w:rPr>
          <w:lang w:val="en-GB"/>
        </w:rPr>
      </w:pPr>
      <w:r w:rsidRPr="00386C91">
        <w:rPr>
          <w:lang w:val="en-GB"/>
        </w:rPr>
        <w:t>In addition to the right to object, as mentioned above, you have a right of access to, rectification or erasure of your personal data, the right to restrict the processing of your personal data and the right to data portability. If you wish to have access to your personal data or make an amend, please use the contact details mentioned above. If personal data are processed on the basis of your consent, you have a right to revoke this consent at any time.</w:t>
      </w:r>
    </w:p>
    <w:p w14:paraId="410AD773" w14:textId="77777777" w:rsidR="00AA7DFF" w:rsidRPr="00386C91" w:rsidRDefault="00AA7DFF" w:rsidP="00AA7DFF">
      <w:pPr>
        <w:jc w:val="both"/>
        <w:rPr>
          <w:lang w:val="en-GB"/>
        </w:rPr>
      </w:pPr>
    </w:p>
    <w:p w14:paraId="57F82839"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How can a complaint concerning personal data processing be filed?</w:t>
      </w:r>
    </w:p>
    <w:p w14:paraId="662BFD8E"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 xml:space="preserve">You can contact our data protection officer on email address dpo@svpojistovna.cz or the Office for Personal Data Protection at the address </w:t>
      </w:r>
      <w:proofErr w:type="spellStart"/>
      <w:r w:rsidRPr="00386C91">
        <w:rPr>
          <w:rFonts w:eastAsia="Times New Roman" w:cs="Arial"/>
          <w:szCs w:val="24"/>
          <w:lang w:val="en-GB" w:eastAsia="cs-CZ"/>
        </w:rPr>
        <w:t>Pplk</w:t>
      </w:r>
      <w:proofErr w:type="spellEnd"/>
      <w:r w:rsidRPr="00386C91">
        <w:rPr>
          <w:rFonts w:eastAsia="Times New Roman" w:cs="Arial"/>
          <w:szCs w:val="24"/>
          <w:lang w:val="en-GB" w:eastAsia="cs-CZ"/>
        </w:rPr>
        <w:t xml:space="preserve">. </w:t>
      </w:r>
      <w:proofErr w:type="spellStart"/>
      <w:r w:rsidRPr="00386C91">
        <w:rPr>
          <w:rFonts w:eastAsia="Times New Roman" w:cs="Arial"/>
          <w:szCs w:val="24"/>
          <w:lang w:val="en-GB" w:eastAsia="cs-CZ"/>
        </w:rPr>
        <w:t>Sochora</w:t>
      </w:r>
      <w:proofErr w:type="spellEnd"/>
      <w:r w:rsidRPr="00386C91">
        <w:rPr>
          <w:rFonts w:eastAsia="Times New Roman" w:cs="Arial"/>
          <w:szCs w:val="24"/>
          <w:lang w:val="en-GB" w:eastAsia="cs-CZ"/>
        </w:rPr>
        <w:t xml:space="preserve"> 27, 170 00 Praha 7.</w:t>
      </w:r>
    </w:p>
    <w:p w14:paraId="40AB0B2D" w14:textId="77777777" w:rsidR="00AA7DFF" w:rsidRPr="00386C91" w:rsidRDefault="00AA7DFF" w:rsidP="00AA7DFF">
      <w:pPr>
        <w:jc w:val="both"/>
        <w:rPr>
          <w:rFonts w:eastAsia="Times New Roman" w:cs="Arial"/>
          <w:szCs w:val="24"/>
          <w:lang w:val="en-GB" w:eastAsia="cs-CZ"/>
        </w:rPr>
      </w:pPr>
    </w:p>
    <w:p w14:paraId="7CD887F9" w14:textId="77777777" w:rsidR="00AA7DFF" w:rsidRPr="00386C91" w:rsidRDefault="00AA7DFF" w:rsidP="00AA7DFF">
      <w:pPr>
        <w:jc w:val="both"/>
        <w:rPr>
          <w:rFonts w:eastAsia="Times New Roman" w:cs="Arial"/>
          <w:szCs w:val="24"/>
          <w:lang w:val="en-GB" w:eastAsia="cs-CZ"/>
        </w:rPr>
      </w:pPr>
    </w:p>
    <w:p w14:paraId="19E5585D"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For current information on protection of clie</w:t>
      </w:r>
      <w:r>
        <w:rPr>
          <w:rFonts w:eastAsia="Times New Roman" w:cs="Arial"/>
          <w:szCs w:val="24"/>
          <w:lang w:val="en-GB" w:eastAsia="cs-CZ"/>
        </w:rPr>
        <w:t>nts’ personal data please go to:</w:t>
      </w:r>
    </w:p>
    <w:p w14:paraId="0E7BB9D6"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svpojistovna.cz/o-spolecnosti/ochrana-osobnich-udaju/</w:t>
      </w:r>
    </w:p>
    <w:p w14:paraId="4505E457" w14:textId="6810D22E" w:rsidR="00787519" w:rsidRDefault="00787519">
      <w:pPr>
        <w:pStyle w:val="Zkladntext"/>
        <w:ind w:left="7806"/>
        <w:rPr>
          <w:rFonts w:ascii="Times New Roman"/>
          <w:sz w:val="20"/>
        </w:rPr>
      </w:pPr>
    </w:p>
    <w:p w14:paraId="0E15AF81" w14:textId="34859DA8"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rsidP="007C3AE2">
      <w:pPr>
        <w:pStyle w:val="Zkladntext"/>
        <w:jc w:val="center"/>
        <w:rPr>
          <w:rFonts w:ascii="Times New Roman"/>
          <w:sz w:val="20"/>
        </w:rPr>
      </w:pPr>
      <w:bookmarkStart w:id="0" w:name="_GoBack"/>
    </w:p>
    <w:bookmarkEnd w:id="0"/>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7"/>
          <w:footerReference w:type="default" r:id="rId8"/>
          <w:type w:val="continuous"/>
          <w:pgSz w:w="11910" w:h="16840"/>
          <w:pgMar w:top="940" w:right="1320" w:bottom="426" w:left="1300" w:header="708" w:footer="470" w:gutter="0"/>
          <w:cols w:space="708"/>
        </w:sectPr>
      </w:pPr>
      <w:r>
        <w:rPr>
          <w:rFonts w:ascii="Times New Roman"/>
          <w:sz w:val="20"/>
        </w:rPr>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76B86" w14:textId="77777777" w:rsidR="001C0284" w:rsidRDefault="001C0284" w:rsidP="00366F09">
      <w:r>
        <w:separator/>
      </w:r>
    </w:p>
  </w:endnote>
  <w:endnote w:type="continuationSeparator" w:id="0">
    <w:p w14:paraId="4FF0D14D" w14:textId="77777777" w:rsidR="001C0284" w:rsidRDefault="001C0284"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parkasse Rg">
    <w:altName w:val="Arial Nova"/>
    <w:charset w:val="EE"/>
    <w:family w:val="swiss"/>
    <w:pitch w:val="variable"/>
    <w:sig w:usb0="00000001" w:usb1="50000053"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Barlow">
    <w:altName w:val="Times New Roman"/>
    <w:charset w:val="EE"/>
    <w:family w:val="auto"/>
    <w:pitch w:val="variable"/>
    <w:sig w:usb0="00000001"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5D15" w14:textId="4495A86C" w:rsidR="00366F09" w:rsidRDefault="007C3AE2">
    <w:pPr>
      <w:pStyle w:val="Zpat"/>
    </w:pPr>
    <w:r w:rsidRPr="007C3AE2">
      <w:drawing>
        <wp:inline distT="0" distB="0" distL="0" distR="0" wp14:anchorId="3C6B0B14" wp14:editId="7194E1EB">
          <wp:extent cx="5887272" cy="72400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87272" cy="72400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2D3D3" w14:textId="77777777" w:rsidR="001C0284" w:rsidRDefault="001C0284" w:rsidP="00366F09">
      <w:r>
        <w:separator/>
      </w:r>
    </w:p>
  </w:footnote>
  <w:footnote w:type="continuationSeparator" w:id="0">
    <w:p w14:paraId="04230839" w14:textId="77777777" w:rsidR="001C0284" w:rsidRDefault="001C0284" w:rsidP="0036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EB97" w14:textId="4087130B" w:rsidR="00366F09" w:rsidRDefault="00366F09">
    <w:pPr>
      <w:pStyle w:val="Zhlav"/>
    </w:pPr>
    <w:r>
      <w:rPr>
        <w:noProof/>
      </w:rPr>
      <w:ptab w:relativeTo="margin" w:alignment="right" w:leader="none"/>
    </w:r>
    <w:r>
      <w:rPr>
        <w:noProof/>
        <w:lang w:eastAsia="cs-CZ"/>
      </w:rPr>
      <w:drawing>
        <wp:inline distT="0" distB="0" distL="0" distR="0" wp14:anchorId="200A7BF5" wp14:editId="09122FC9">
          <wp:extent cx="857764"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19"/>
    <w:rsid w:val="0007630C"/>
    <w:rsid w:val="001C0284"/>
    <w:rsid w:val="001F0C2A"/>
    <w:rsid w:val="00354CCF"/>
    <w:rsid w:val="00366F09"/>
    <w:rsid w:val="0056441A"/>
    <w:rsid w:val="005E2EE9"/>
    <w:rsid w:val="007449B6"/>
    <w:rsid w:val="00787519"/>
    <w:rsid w:val="007B66E8"/>
    <w:rsid w:val="007C3AE2"/>
    <w:rsid w:val="00A857F4"/>
    <w:rsid w:val="00AA7DFF"/>
    <w:rsid w:val="00AC6FB3"/>
    <w:rsid w:val="00AD0A4A"/>
    <w:rsid w:val="00B44B08"/>
    <w:rsid w:val="00B95155"/>
    <w:rsid w:val="00C94767"/>
    <w:rsid w:val="00D26F66"/>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customStyle="1" w:styleId="UnresolvedMention">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character" w:customStyle="1" w:styleId="ZkladntextChar">
    <w:name w:val="Základní text Char"/>
    <w:basedOn w:val="Standardnpsmoodstavce"/>
    <w:link w:val="Zkladntext"/>
    <w:uiPriority w:val="1"/>
    <w:rsid w:val="00AA7DFF"/>
    <w:rPr>
      <w:rFonts w:ascii="Sparkasse Rg" w:eastAsia="Sparkasse Rg" w:hAnsi="Sparkasse Rg" w:cs="Sparkasse Rg"/>
      <w:sz w:val="14"/>
      <w:szCs w:val="14"/>
      <w:lang w:val="cs-CZ"/>
    </w:rPr>
  </w:style>
  <w:style w:type="paragraph" w:styleId="Textbubliny">
    <w:name w:val="Balloon Text"/>
    <w:basedOn w:val="Normln"/>
    <w:link w:val="TextbublinyChar"/>
    <w:uiPriority w:val="99"/>
    <w:semiHidden/>
    <w:unhideWhenUsed/>
    <w:rsid w:val="007C3AE2"/>
    <w:rPr>
      <w:rFonts w:ascii="Tahoma" w:hAnsi="Tahoma" w:cs="Tahoma"/>
      <w:sz w:val="16"/>
      <w:szCs w:val="16"/>
    </w:rPr>
  </w:style>
  <w:style w:type="character" w:customStyle="1" w:styleId="TextbublinyChar">
    <w:name w:val="Text bubliny Char"/>
    <w:basedOn w:val="Standardnpsmoodstavce"/>
    <w:link w:val="Textbubliny"/>
    <w:uiPriority w:val="99"/>
    <w:semiHidden/>
    <w:rsid w:val="007C3AE2"/>
    <w:rPr>
      <w:rFonts w:ascii="Tahoma" w:eastAsia="Sparkasse Rg"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customStyle="1" w:styleId="UnresolvedMention">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character" w:customStyle="1" w:styleId="ZkladntextChar">
    <w:name w:val="Základní text Char"/>
    <w:basedOn w:val="Standardnpsmoodstavce"/>
    <w:link w:val="Zkladntext"/>
    <w:uiPriority w:val="1"/>
    <w:rsid w:val="00AA7DFF"/>
    <w:rPr>
      <w:rFonts w:ascii="Sparkasse Rg" w:eastAsia="Sparkasse Rg" w:hAnsi="Sparkasse Rg" w:cs="Sparkasse Rg"/>
      <w:sz w:val="14"/>
      <w:szCs w:val="14"/>
      <w:lang w:val="cs-CZ"/>
    </w:rPr>
  </w:style>
  <w:style w:type="paragraph" w:styleId="Textbubliny">
    <w:name w:val="Balloon Text"/>
    <w:basedOn w:val="Normln"/>
    <w:link w:val="TextbublinyChar"/>
    <w:uiPriority w:val="99"/>
    <w:semiHidden/>
    <w:unhideWhenUsed/>
    <w:rsid w:val="007C3AE2"/>
    <w:rPr>
      <w:rFonts w:ascii="Tahoma" w:hAnsi="Tahoma" w:cs="Tahoma"/>
      <w:sz w:val="16"/>
      <w:szCs w:val="16"/>
    </w:rPr>
  </w:style>
  <w:style w:type="character" w:customStyle="1" w:styleId="TextbublinyChar">
    <w:name w:val="Text bubliny Char"/>
    <w:basedOn w:val="Standardnpsmoodstavce"/>
    <w:link w:val="Textbubliny"/>
    <w:uiPriority w:val="99"/>
    <w:semiHidden/>
    <w:rsid w:val="007C3AE2"/>
    <w:rPr>
      <w:rFonts w:ascii="Tahoma" w:eastAsia="Sparkasse Rg"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Hodačová Lucie</cp:lastModifiedBy>
  <cp:revision>3</cp:revision>
  <cp:lastPrinted>2022-11-08T10:40:00Z</cp:lastPrinted>
  <dcterms:created xsi:type="dcterms:W3CDTF">2022-12-28T07:50:00Z</dcterms:created>
  <dcterms:modified xsi:type="dcterms:W3CDTF">2024-10-21T12:34:00Z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